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5737" w14:textId="77777777" w:rsidR="0071509C" w:rsidRDefault="0071509C">
      <w:pPr>
        <w:pStyle w:val="BodyText"/>
        <w:spacing w:before="5"/>
        <w:rPr>
          <w:rFonts w:ascii="Times New Roman"/>
          <w:sz w:val="22"/>
        </w:rPr>
      </w:pPr>
    </w:p>
    <w:p w14:paraId="54D55738" w14:textId="77777777" w:rsidR="0071509C" w:rsidRDefault="001F766A">
      <w:pPr>
        <w:ind w:left="1065"/>
        <w:jc w:val="center"/>
        <w:rPr>
          <w:rFonts w:ascii="Tahoma"/>
          <w:b/>
        </w:rPr>
      </w:pPr>
      <w:r>
        <w:rPr>
          <w:rFonts w:ascii="Tahoma"/>
          <w:b/>
        </w:rPr>
        <w:t xml:space="preserve">JOB </w:t>
      </w:r>
      <w:r>
        <w:rPr>
          <w:rFonts w:ascii="Tahoma"/>
          <w:b/>
          <w:spacing w:val="-2"/>
        </w:rPr>
        <w:t>DESCRIPTION</w:t>
      </w:r>
    </w:p>
    <w:p w14:paraId="54D55739" w14:textId="77777777" w:rsidR="0071509C" w:rsidRDefault="0071509C">
      <w:pPr>
        <w:pStyle w:val="BodyText"/>
        <w:rPr>
          <w:rFonts w:ascii="Tahoma"/>
          <w:b/>
          <w:sz w:val="20"/>
        </w:rPr>
      </w:pPr>
    </w:p>
    <w:p w14:paraId="54D5573A" w14:textId="77777777" w:rsidR="0071509C" w:rsidRDefault="0071509C">
      <w:pPr>
        <w:pStyle w:val="BodyText"/>
        <w:spacing w:before="69" w:after="1"/>
        <w:rPr>
          <w:rFonts w:ascii="Tahoma"/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902"/>
      </w:tblGrid>
      <w:tr w:rsidR="0071509C" w14:paraId="54D5573D" w14:textId="77777777">
        <w:trPr>
          <w:trHeight w:val="292"/>
        </w:trPr>
        <w:tc>
          <w:tcPr>
            <w:tcW w:w="3116" w:type="dxa"/>
          </w:tcPr>
          <w:p w14:paraId="54D5573B" w14:textId="77777777" w:rsidR="0071509C" w:rsidRDefault="001F76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5902" w:type="dxa"/>
          </w:tcPr>
          <w:p w14:paraId="54D5573C" w14:textId="34F72C7E" w:rsidR="0071509C" w:rsidRDefault="00627D5F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Communications </w:t>
            </w:r>
            <w:r w:rsidR="00012F34">
              <w:rPr>
                <w:b/>
                <w:sz w:val="24"/>
              </w:rPr>
              <w:t>Specialist</w:t>
            </w:r>
          </w:p>
        </w:tc>
      </w:tr>
      <w:tr w:rsidR="0071509C" w14:paraId="54D55740" w14:textId="77777777">
        <w:trPr>
          <w:trHeight w:val="292"/>
        </w:trPr>
        <w:tc>
          <w:tcPr>
            <w:tcW w:w="3116" w:type="dxa"/>
          </w:tcPr>
          <w:p w14:paraId="54D5573E" w14:textId="77777777" w:rsidR="0071509C" w:rsidRDefault="001F76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5902" w:type="dxa"/>
          </w:tcPr>
          <w:p w14:paraId="54D5573F" w14:textId="36BC04C4" w:rsidR="0071509C" w:rsidRDefault="00627D5F" w:rsidP="00627D5F">
            <w:pPr>
              <w:pStyle w:val="TableParagraph"/>
              <w:spacing w:line="272" w:lineRule="exact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</w:t>
            </w:r>
            <w:r w:rsidR="00A35631">
              <w:rPr>
                <w:b/>
                <w:spacing w:val="-5"/>
                <w:sz w:val="24"/>
              </w:rPr>
              <w:t>Communications</w:t>
            </w:r>
            <w:r w:rsidR="00C75CF1">
              <w:rPr>
                <w:b/>
                <w:spacing w:val="-5"/>
                <w:sz w:val="24"/>
              </w:rPr>
              <w:t xml:space="preserve"> </w:t>
            </w:r>
            <w:r w:rsidR="00012F34">
              <w:rPr>
                <w:b/>
                <w:spacing w:val="-5"/>
                <w:sz w:val="24"/>
              </w:rPr>
              <w:t>Manager</w:t>
            </w:r>
          </w:p>
        </w:tc>
      </w:tr>
      <w:tr w:rsidR="0071509C" w14:paraId="54D55743" w14:textId="77777777">
        <w:trPr>
          <w:trHeight w:val="292"/>
        </w:trPr>
        <w:tc>
          <w:tcPr>
            <w:tcW w:w="3116" w:type="dxa"/>
          </w:tcPr>
          <w:p w14:paraId="54D55741" w14:textId="77777777" w:rsidR="0071509C" w:rsidRDefault="001F76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Function</w:t>
            </w:r>
          </w:p>
        </w:tc>
        <w:tc>
          <w:tcPr>
            <w:tcW w:w="5902" w:type="dxa"/>
          </w:tcPr>
          <w:p w14:paraId="54D55742" w14:textId="3C3A8EEC" w:rsidR="0071509C" w:rsidRDefault="00065101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Comms and Marketing</w:t>
            </w:r>
          </w:p>
        </w:tc>
      </w:tr>
      <w:tr w:rsidR="00627D5F" w14:paraId="45270D94" w14:textId="77777777" w:rsidTr="00564676">
        <w:trPr>
          <w:trHeight w:val="294"/>
        </w:trPr>
        <w:tc>
          <w:tcPr>
            <w:tcW w:w="3116" w:type="dxa"/>
          </w:tcPr>
          <w:p w14:paraId="3D177B26" w14:textId="77777777" w:rsidR="00627D5F" w:rsidRDefault="00627D5F" w:rsidP="00564676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Version/Date</w:t>
            </w:r>
          </w:p>
        </w:tc>
        <w:tc>
          <w:tcPr>
            <w:tcW w:w="5902" w:type="dxa"/>
          </w:tcPr>
          <w:p w14:paraId="48DC43EF" w14:textId="77777777" w:rsidR="00627D5F" w:rsidRDefault="00627D5F" w:rsidP="00564676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July </w:t>
            </w:r>
            <w:r>
              <w:rPr>
                <w:b/>
                <w:spacing w:val="-4"/>
                <w:sz w:val="24"/>
              </w:rPr>
              <w:t>2025</w:t>
            </w:r>
          </w:p>
        </w:tc>
      </w:tr>
    </w:tbl>
    <w:p w14:paraId="54D55747" w14:textId="77777777" w:rsidR="0071509C" w:rsidRDefault="0071509C">
      <w:pPr>
        <w:pStyle w:val="BodyText"/>
        <w:spacing w:before="53"/>
        <w:rPr>
          <w:rFonts w:ascii="Tahoma"/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71509C" w14:paraId="54D5574D" w14:textId="77777777" w:rsidTr="00EF7B8E">
        <w:trPr>
          <w:trHeight w:val="4052"/>
        </w:trPr>
        <w:tc>
          <w:tcPr>
            <w:tcW w:w="9019" w:type="dxa"/>
          </w:tcPr>
          <w:p w14:paraId="54D55748" w14:textId="77777777" w:rsidR="0071509C" w:rsidRDefault="001F766A" w:rsidP="00171D1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</w:t>
            </w:r>
          </w:p>
          <w:p w14:paraId="54D55749" w14:textId="77777777" w:rsidR="0071509C" w:rsidRDefault="0071509C" w:rsidP="00171D17">
            <w:pPr>
              <w:pStyle w:val="TableParagraph"/>
              <w:spacing w:before="2"/>
              <w:ind w:left="0"/>
              <w:rPr>
                <w:rFonts w:ascii="Tahoma"/>
                <w:b/>
                <w:sz w:val="24"/>
              </w:rPr>
            </w:pPr>
          </w:p>
          <w:p w14:paraId="54D5574A" w14:textId="0807468C" w:rsidR="0071509C" w:rsidRDefault="001F766A" w:rsidP="00711CBD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hyperlink r:id="rId7">
              <w:r w:rsidRPr="00342CFE">
                <w:rPr>
                  <w:sz w:val="24"/>
                </w:rPr>
                <w:t>Pearson Engineering Ltd</w:t>
              </w:r>
            </w:hyperlink>
            <w:r w:rsidRPr="00342CFE">
              <w:rPr>
                <w:sz w:val="24"/>
              </w:rPr>
              <w:t xml:space="preserve"> </w:t>
            </w:r>
            <w:r>
              <w:rPr>
                <w:sz w:val="24"/>
              </w:rPr>
              <w:t>is a world leading provider of counter-mine and combat engineering equipment.</w:t>
            </w:r>
            <w:r>
              <w:rPr>
                <w:spacing w:val="40"/>
                <w:sz w:val="24"/>
              </w:rPr>
              <w:t xml:space="preserve"> </w:t>
            </w:r>
            <w:r w:rsidRPr="005B3BC1">
              <w:rPr>
                <w:sz w:val="24"/>
              </w:rPr>
              <w:t xml:space="preserve">Our product range is wide and varied, including complex attachments for </w:t>
            </w:r>
            <w:proofErr w:type="spellStart"/>
            <w:r w:rsidRPr="005B3BC1">
              <w:rPr>
                <w:sz w:val="24"/>
              </w:rPr>
              <w:t>armoured</w:t>
            </w:r>
            <w:proofErr w:type="spellEnd"/>
            <w:r w:rsidRPr="005B3BC1">
              <w:rPr>
                <w:sz w:val="24"/>
              </w:rPr>
              <w:t xml:space="preserve"> vehicles and </w:t>
            </w:r>
            <w:r w:rsidR="002834C3" w:rsidRPr="005B3BC1">
              <w:rPr>
                <w:sz w:val="24"/>
              </w:rPr>
              <w:t>remote-controlled</w:t>
            </w:r>
            <w:r w:rsidRPr="005B3BC1">
              <w:rPr>
                <w:sz w:val="24"/>
              </w:rPr>
              <w:t xml:space="preserve"> mine clearance systems.</w:t>
            </w:r>
          </w:p>
          <w:p w14:paraId="6FDE0D17" w14:textId="77777777" w:rsidR="00627D5F" w:rsidRDefault="00627D5F" w:rsidP="00711CBD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</w:p>
          <w:p w14:paraId="37050476" w14:textId="77777777" w:rsidR="00627D5F" w:rsidRPr="00847BC1" w:rsidRDefault="00627D5F" w:rsidP="00627D5F">
            <w:pPr>
              <w:spacing w:after="160" w:line="278" w:lineRule="auto"/>
              <w:rPr>
                <w:b/>
                <w:bCs/>
              </w:rPr>
            </w:pPr>
            <w:r w:rsidRPr="00847BC1">
              <w:rPr>
                <w:b/>
                <w:bCs/>
              </w:rPr>
              <w:t>What We Offer</w:t>
            </w:r>
          </w:p>
          <w:p w14:paraId="309DF167" w14:textId="77777777" w:rsidR="00C21F24" w:rsidRPr="00C21F24" w:rsidRDefault="00C21F24" w:rsidP="00C21F24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C21F24">
              <w:rPr>
                <w:bCs/>
                <w:sz w:val="24"/>
              </w:rPr>
              <w:t>A dynamic and supportive work environment.</w:t>
            </w:r>
          </w:p>
          <w:p w14:paraId="3642CC25" w14:textId="77777777" w:rsidR="00C21F24" w:rsidRPr="00C21F24" w:rsidRDefault="00C21F24" w:rsidP="00C21F24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C21F24">
              <w:rPr>
                <w:bCs/>
                <w:sz w:val="24"/>
              </w:rPr>
              <w:t>Opportunities to shape and influence the employee experience.</w:t>
            </w:r>
          </w:p>
          <w:p w14:paraId="42C0D226" w14:textId="77777777" w:rsidR="00627D5F" w:rsidRPr="00847BC1" w:rsidRDefault="00627D5F" w:rsidP="00C21F24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A collaborative and supportive team environment.</w:t>
            </w:r>
          </w:p>
          <w:p w14:paraId="7A4AC562" w14:textId="77777777" w:rsidR="00627D5F" w:rsidRPr="00627D5F" w:rsidRDefault="00627D5F" w:rsidP="00C21F24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>Competitive salary and benefits package.</w:t>
            </w:r>
          </w:p>
          <w:p w14:paraId="59A556EF" w14:textId="4277E27D" w:rsidR="00627D5F" w:rsidRPr="00627D5F" w:rsidRDefault="00627D5F" w:rsidP="00C21F24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137DC7">
              <w:rPr>
                <w:bCs/>
                <w:sz w:val="24"/>
              </w:rPr>
              <w:t>On-site facilities and employee wellbeing initiatives.</w:t>
            </w:r>
          </w:p>
          <w:p w14:paraId="34CA2D6C" w14:textId="77777777" w:rsidR="00874A98" w:rsidRDefault="00874A98" w:rsidP="00711CBD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</w:p>
          <w:p w14:paraId="54D5574C" w14:textId="5D7D0275" w:rsidR="0071509C" w:rsidRPr="008B10C6" w:rsidRDefault="00012F34" w:rsidP="008B10C6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We are growing at pace and scaling up in new sectors </w:t>
            </w:r>
            <w:r w:rsidR="00C21F24">
              <w:rPr>
                <w:sz w:val="24"/>
              </w:rPr>
              <w:t>therefore</w:t>
            </w:r>
            <w:r w:rsidRPr="00012F34">
              <w:rPr>
                <w:sz w:val="24"/>
              </w:rPr>
              <w:t xml:space="preserve"> maintaining a connected, informed, and engaged workforce becomes increasingly challenging. The creation of a dedicated </w:t>
            </w:r>
            <w:r w:rsidRPr="00B40377">
              <w:rPr>
                <w:sz w:val="24"/>
              </w:rPr>
              <w:t>Internal Communications Specialist</w:t>
            </w:r>
            <w:r w:rsidRPr="00012F34">
              <w:rPr>
                <w:sz w:val="24"/>
              </w:rPr>
              <w:t> role is critical to ensuring that employees remain aligned with the company’s vision, values, and strategic direction.</w:t>
            </w:r>
            <w:r w:rsidR="00B40377">
              <w:rPr>
                <w:sz w:val="24"/>
              </w:rPr>
              <w:t xml:space="preserve"> </w:t>
            </w:r>
            <w:r w:rsidRPr="00012F34">
              <w:rPr>
                <w:sz w:val="24"/>
              </w:rPr>
              <w:t>Rapid growth can lead to internal disconnect. This role will ensure employees are informed, engaged, and aligned through effective internal communications, supporting culture, change management, and leadership visibility.</w:t>
            </w:r>
          </w:p>
        </w:tc>
      </w:tr>
      <w:tr w:rsidR="00EF7B8E" w:rsidRPr="00EF7B8E" w14:paraId="54D55750" w14:textId="77777777">
        <w:trPr>
          <w:trHeight w:val="2051"/>
        </w:trPr>
        <w:tc>
          <w:tcPr>
            <w:tcW w:w="9019" w:type="dxa"/>
          </w:tcPr>
          <w:p w14:paraId="54D5574E" w14:textId="77777777" w:rsidR="0071509C" w:rsidRDefault="001F766A" w:rsidP="00171D17">
            <w:pPr>
              <w:pStyle w:val="TableParagraph"/>
              <w:spacing w:line="293" w:lineRule="exact"/>
              <w:rPr>
                <w:b/>
                <w:spacing w:val="-2"/>
                <w:sz w:val="24"/>
              </w:rPr>
            </w:pPr>
            <w:r w:rsidRPr="00EF7B8E">
              <w:rPr>
                <w:b/>
                <w:sz w:val="24"/>
              </w:rPr>
              <w:t>Job</w:t>
            </w:r>
            <w:r w:rsidRPr="00EF7B8E">
              <w:rPr>
                <w:b/>
                <w:spacing w:val="1"/>
                <w:sz w:val="24"/>
              </w:rPr>
              <w:t xml:space="preserve"> </w:t>
            </w:r>
            <w:r w:rsidRPr="00EF7B8E">
              <w:rPr>
                <w:b/>
                <w:spacing w:val="-2"/>
                <w:sz w:val="24"/>
              </w:rPr>
              <w:t>Purpose</w:t>
            </w:r>
          </w:p>
          <w:p w14:paraId="65AFC55B" w14:textId="77777777" w:rsidR="00171D17" w:rsidRPr="00EF7B8E" w:rsidRDefault="00171D17" w:rsidP="00171D17">
            <w:pPr>
              <w:pStyle w:val="TableParagraph"/>
              <w:spacing w:line="293" w:lineRule="exact"/>
              <w:rPr>
                <w:b/>
                <w:sz w:val="24"/>
              </w:rPr>
            </w:pPr>
          </w:p>
          <w:p w14:paraId="54D5574F" w14:textId="03C6E8D4" w:rsidR="0071509C" w:rsidRPr="00D77D8E" w:rsidRDefault="00B40377" w:rsidP="00B40377">
            <w:pPr>
              <w:pStyle w:val="TableParagraph"/>
              <w:ind w:right="91"/>
              <w:rPr>
                <w:sz w:val="24"/>
              </w:rPr>
            </w:pPr>
            <w:r w:rsidRPr="00B40377">
              <w:rPr>
                <w:sz w:val="24"/>
              </w:rPr>
              <w:t>We are seeking a proactive and creative Internal Communications Specialist to join our team and play a key role in engaging, informing, and connecting our 500-strong workforce. Based on-site at our manufacturing facility</w:t>
            </w:r>
            <w:r>
              <w:rPr>
                <w:sz w:val="24"/>
              </w:rPr>
              <w:t xml:space="preserve"> in Newcastle Upon Tyne</w:t>
            </w:r>
            <w:r w:rsidRPr="00B40377">
              <w:rPr>
                <w:sz w:val="24"/>
              </w:rPr>
              <w:t>, you will be responsible for developing and delivering clear, consistent, and compelling internal communications that support our business goals, enhance employee experience, and foster a strong sense of community.</w:t>
            </w:r>
          </w:p>
        </w:tc>
      </w:tr>
      <w:tr w:rsidR="00EF7B8E" w:rsidRPr="00EF7B8E" w14:paraId="54D55759" w14:textId="77777777">
        <w:trPr>
          <w:trHeight w:val="3943"/>
        </w:trPr>
        <w:tc>
          <w:tcPr>
            <w:tcW w:w="9019" w:type="dxa"/>
          </w:tcPr>
          <w:p w14:paraId="4DE93F65" w14:textId="269F605F" w:rsidR="006C42BF" w:rsidRDefault="001F766A" w:rsidP="006C42BF">
            <w:pPr>
              <w:pStyle w:val="TableParagraph"/>
              <w:spacing w:line="292" w:lineRule="exact"/>
              <w:rPr>
                <w:b/>
                <w:spacing w:val="-2"/>
                <w:sz w:val="24"/>
              </w:rPr>
            </w:pPr>
            <w:r w:rsidRPr="00EF7B8E">
              <w:rPr>
                <w:b/>
                <w:sz w:val="24"/>
              </w:rPr>
              <w:lastRenderedPageBreak/>
              <w:t>Key</w:t>
            </w:r>
            <w:r w:rsidRPr="00EF7B8E">
              <w:rPr>
                <w:b/>
                <w:spacing w:val="-2"/>
                <w:sz w:val="24"/>
              </w:rPr>
              <w:t xml:space="preserve"> Responsibilities</w:t>
            </w:r>
          </w:p>
          <w:p w14:paraId="7D9CA931" w14:textId="77777777" w:rsidR="00171D17" w:rsidRPr="00EF7B8E" w:rsidRDefault="00171D17" w:rsidP="006C42BF">
            <w:pPr>
              <w:pStyle w:val="TableParagraph"/>
              <w:spacing w:line="292" w:lineRule="exact"/>
              <w:rPr>
                <w:b/>
                <w:spacing w:val="-2"/>
                <w:sz w:val="24"/>
              </w:rPr>
            </w:pPr>
          </w:p>
          <w:p w14:paraId="398A9D95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Develop and implement internal communication strategies that align with company objectives and values.</w:t>
            </w:r>
          </w:p>
          <w:p w14:paraId="15CC2E47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Create engaging content for a variety of channels including newsletters, digital signage, intranet, email, and town halls.</w:t>
            </w:r>
          </w:p>
          <w:p w14:paraId="551828C4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Partner with HR, Operations, and other departments to support change communications, employee engagement initiatives, and leadership visibility.</w:t>
            </w:r>
          </w:p>
          <w:p w14:paraId="1AE0D247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Manage the internal communications calendar and ensure timely delivery of key messages.</w:t>
            </w:r>
          </w:p>
          <w:p w14:paraId="3DEFB6EC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Support crisis and operational communications, ensuring clarity and consistency across all levels.</w:t>
            </w:r>
          </w:p>
          <w:p w14:paraId="3049605D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Gather feedback from employees to continuously improve communication effectiveness.</w:t>
            </w:r>
          </w:p>
          <w:p w14:paraId="0A02A774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Champion the company’s tone of voice and brand in all internal messaging.</w:t>
            </w:r>
          </w:p>
          <w:p w14:paraId="22DED48D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Measure and report on the impact of internal communications using qualitative and quantitative methods.</w:t>
            </w:r>
          </w:p>
          <w:p w14:paraId="54D55758" w14:textId="333E7246" w:rsidR="0071509C" w:rsidRPr="00B40377" w:rsidRDefault="0071509C" w:rsidP="00B40377">
            <w:pPr>
              <w:ind w:left="720"/>
              <w:rPr>
                <w:bCs/>
                <w:sz w:val="24"/>
              </w:rPr>
            </w:pPr>
          </w:p>
        </w:tc>
      </w:tr>
      <w:tr w:rsidR="00EF7B8E" w:rsidRPr="00EF7B8E" w14:paraId="7828A552" w14:textId="77777777">
        <w:trPr>
          <w:trHeight w:val="3943"/>
        </w:trPr>
        <w:tc>
          <w:tcPr>
            <w:tcW w:w="9019" w:type="dxa"/>
          </w:tcPr>
          <w:p w14:paraId="4A5B2F01" w14:textId="77777777" w:rsidR="00EF7B8E" w:rsidRDefault="00EF7B8E" w:rsidP="00EF7B8E">
            <w:pPr>
              <w:pStyle w:val="TableParagraph"/>
              <w:spacing w:line="292" w:lineRule="exact"/>
              <w:rPr>
                <w:b/>
                <w:spacing w:val="-2"/>
                <w:sz w:val="24"/>
              </w:rPr>
            </w:pPr>
            <w:r w:rsidRPr="00EF7B8E">
              <w:rPr>
                <w:b/>
                <w:spacing w:val="-2"/>
                <w:sz w:val="24"/>
              </w:rPr>
              <w:t>Skills/Experience</w:t>
            </w:r>
          </w:p>
          <w:p w14:paraId="54105AA9" w14:textId="77777777" w:rsidR="00171D17" w:rsidRDefault="00171D17" w:rsidP="00EF7B8E">
            <w:pPr>
              <w:pStyle w:val="TableParagraph"/>
              <w:spacing w:line="292" w:lineRule="exact"/>
              <w:rPr>
                <w:b/>
                <w:spacing w:val="-2"/>
                <w:sz w:val="24"/>
              </w:rPr>
            </w:pPr>
          </w:p>
          <w:p w14:paraId="658D71C8" w14:textId="254CDC5B" w:rsidR="00627D5F" w:rsidRPr="00EF7B8E" w:rsidRDefault="00627D5F" w:rsidP="00EF7B8E">
            <w:pPr>
              <w:pStyle w:val="TableParagraph"/>
              <w:spacing w:line="292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  <w:p w14:paraId="65E5661E" w14:textId="52BFABEA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Develop and</w:t>
            </w:r>
            <w:r>
              <w:rPr>
                <w:bCs/>
                <w:sz w:val="24"/>
              </w:rPr>
              <w:t xml:space="preserve"> </w:t>
            </w:r>
            <w:r w:rsidRPr="00B40377">
              <w:rPr>
                <w:bCs/>
                <w:sz w:val="24"/>
              </w:rPr>
              <w:t>implement internal communication strategies that align with company objectives and values.</w:t>
            </w:r>
          </w:p>
          <w:p w14:paraId="2C8B6D1C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Create engaging content for a variety of channels including newsletters, digital signage, intranet, email, and town halls.</w:t>
            </w:r>
          </w:p>
          <w:p w14:paraId="7BE58756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Partner with HR, Operations, and other departments to support change communications, employee engagement initiatives, and leadership visibility.</w:t>
            </w:r>
          </w:p>
          <w:p w14:paraId="2F85E8FA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Manage the internal communications calendar and ensure timely delivery of key messages.</w:t>
            </w:r>
          </w:p>
          <w:p w14:paraId="3F4786AD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Support crisis and operational communications, ensuring clarity and consistency across all levels.</w:t>
            </w:r>
          </w:p>
          <w:p w14:paraId="36067C1B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Gather feedback from employees to continuously improve communication effectiveness.</w:t>
            </w:r>
          </w:p>
          <w:p w14:paraId="31D3E8CF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Champion the company’s tone of voice and brand in all internal messaging.</w:t>
            </w:r>
          </w:p>
          <w:p w14:paraId="29970E3D" w14:textId="77777777" w:rsid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Measure and report on the impact of internal communications using qualitative and quantitative methods.</w:t>
            </w:r>
          </w:p>
          <w:p w14:paraId="6319DD49" w14:textId="7927D1DA" w:rsidR="009C66E7" w:rsidRPr="00B40377" w:rsidRDefault="009C66E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Demonstrated experience in leveraging intranet platform(s) for effective internal communication.</w:t>
            </w:r>
          </w:p>
          <w:p w14:paraId="0A8898EF" w14:textId="77777777" w:rsidR="00627D5F" w:rsidRDefault="00627D5F" w:rsidP="00627D5F">
            <w:pPr>
              <w:rPr>
                <w:bCs/>
                <w:sz w:val="24"/>
              </w:rPr>
            </w:pPr>
          </w:p>
          <w:p w14:paraId="5EF3B463" w14:textId="22093FE1" w:rsidR="00627D5F" w:rsidRPr="00627D5F" w:rsidRDefault="00627D5F" w:rsidP="00627D5F">
            <w:pPr>
              <w:rPr>
                <w:b/>
                <w:sz w:val="24"/>
              </w:rPr>
            </w:pPr>
            <w:r w:rsidRPr="00627D5F">
              <w:rPr>
                <w:b/>
                <w:sz w:val="24"/>
              </w:rPr>
              <w:t>Desirable</w:t>
            </w:r>
          </w:p>
          <w:p w14:paraId="6F932361" w14:textId="77777777" w:rsidR="00627D5F" w:rsidRDefault="00627D5F" w:rsidP="00627D5F">
            <w:pPr>
              <w:rPr>
                <w:bCs/>
                <w:sz w:val="24"/>
              </w:rPr>
            </w:pPr>
          </w:p>
          <w:p w14:paraId="6479123F" w14:textId="77777777" w:rsidR="00B40377" w:rsidRPr="00B40377" w:rsidRDefault="00B40377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B40377">
              <w:rPr>
                <w:bCs/>
                <w:sz w:val="24"/>
              </w:rPr>
              <w:t>Knowledge of employee engagement strategies and change management principles.</w:t>
            </w:r>
          </w:p>
          <w:p w14:paraId="48BC9ABB" w14:textId="71B02F81" w:rsidR="00627D5F" w:rsidRPr="00627D5F" w:rsidRDefault="00627D5F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 xml:space="preserve">Experience with </w:t>
            </w:r>
            <w:r w:rsidR="00B40377">
              <w:rPr>
                <w:bCs/>
                <w:sz w:val="24"/>
              </w:rPr>
              <w:t xml:space="preserve">internal </w:t>
            </w:r>
            <w:r w:rsidRPr="00847BC1">
              <w:rPr>
                <w:bCs/>
                <w:sz w:val="24"/>
              </w:rPr>
              <w:t>digital content platforms</w:t>
            </w:r>
            <w:r w:rsidR="00B40377">
              <w:rPr>
                <w:bCs/>
                <w:sz w:val="24"/>
              </w:rPr>
              <w:t xml:space="preserve"> (Oak)</w:t>
            </w:r>
          </w:p>
          <w:p w14:paraId="24E4CA11" w14:textId="622A5339" w:rsidR="00627D5F" w:rsidRPr="00627D5F" w:rsidRDefault="00627D5F" w:rsidP="00B40377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</w:rPr>
            </w:pPr>
            <w:r w:rsidRPr="00847BC1">
              <w:rPr>
                <w:bCs/>
                <w:sz w:val="24"/>
              </w:rPr>
              <w:t xml:space="preserve">Understanding of internal communications best practices in a manufacturing </w:t>
            </w:r>
            <w:r w:rsidRPr="00847BC1">
              <w:rPr>
                <w:bCs/>
                <w:sz w:val="24"/>
              </w:rPr>
              <w:lastRenderedPageBreak/>
              <w:t>setting.</w:t>
            </w:r>
          </w:p>
        </w:tc>
      </w:tr>
    </w:tbl>
    <w:p w14:paraId="4A41EA65" w14:textId="77777777" w:rsidR="0071509C" w:rsidRDefault="0071509C">
      <w:pPr>
        <w:spacing w:line="273" w:lineRule="exact"/>
        <w:jc w:val="both"/>
        <w:rPr>
          <w:sz w:val="24"/>
        </w:rPr>
      </w:pPr>
    </w:p>
    <w:p w14:paraId="54D5577B" w14:textId="60797EE2" w:rsidR="0071509C" w:rsidRDefault="00EF7B8E" w:rsidP="00EF7B8E">
      <w:pPr>
        <w:rPr>
          <w:rFonts w:ascii="Tahoma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D5577E" wp14:editId="1CE9D0CA">
                <wp:simplePos x="0" y="0"/>
                <wp:positionH relativeFrom="page">
                  <wp:posOffset>431165</wp:posOffset>
                </wp:positionH>
                <wp:positionV relativeFrom="paragraph">
                  <wp:posOffset>1677670</wp:posOffset>
                </wp:positionV>
                <wp:extent cx="5727065" cy="1923415"/>
                <wp:effectExtent l="0" t="0" r="26035" b="1968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9234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D5578B" w14:textId="77777777" w:rsidR="0071509C" w:rsidRDefault="001F766A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Working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Conditions</w:t>
                            </w:r>
                          </w:p>
                          <w:p w14:paraId="54D5578C" w14:textId="77777777" w:rsidR="0071509C" w:rsidRDefault="0071509C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54D5578D" w14:textId="6B85DCE8" w:rsidR="0071509C" w:rsidRDefault="001F766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spacing w:before="1"/>
                              <w:ind w:right="107"/>
                              <w:jc w:val="both"/>
                            </w:pPr>
                            <w:r>
                              <w:t xml:space="preserve">Mainly office based </w:t>
                            </w:r>
                          </w:p>
                          <w:p w14:paraId="2C30A108" w14:textId="5F1F962D" w:rsidR="00EF7B8E" w:rsidRDefault="00EF7B8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spacing w:before="291"/>
                              <w:ind w:right="108"/>
                              <w:jc w:val="both"/>
                            </w:pPr>
                            <w:r>
                              <w:t>Reduced working hours on a Friday.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5577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3.95pt;margin-top:132.1pt;width:450.95pt;height:151.4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" filled="f" strokeweight=".48pt">
                <v:path arrowok="t"/>
                <v:textbox inset="0,0,0,0">
                  <w:txbxContent>
                    <w:p w14:paraId="54D5578B" w14:textId="77777777" w:rsidR="0071509C" w:rsidRDefault="001F766A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Working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Conditions</w:t>
                      </w:r>
                    </w:p>
                    <w:p w14:paraId="54D5578C" w14:textId="77777777" w:rsidR="0071509C" w:rsidRDefault="0071509C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54D5578D" w14:textId="6B85DCE8" w:rsidR="0071509C" w:rsidRDefault="001F766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spacing w:before="1"/>
                        <w:ind w:right="107"/>
                        <w:jc w:val="both"/>
                      </w:pPr>
                      <w:r>
                        <w:t xml:space="preserve">Mainly office based </w:t>
                      </w:r>
                    </w:p>
                    <w:p w14:paraId="2C30A108" w14:textId="5F1F962D" w:rsidR="00EF7B8E" w:rsidRDefault="00EF7B8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spacing w:before="291"/>
                        <w:ind w:right="108"/>
                        <w:jc w:val="both"/>
                      </w:pPr>
                      <w:r>
                        <w:t>Reduced working hours on a Friday.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sz w:val="20"/>
        </w:rPr>
        <mc:AlternateContent>
          <mc:Choice Requires="wps">
            <w:drawing>
              <wp:inline distT="0" distB="0" distL="0" distR="0" wp14:anchorId="4F846BDF" wp14:editId="262B2BA5">
                <wp:extent cx="5727065" cy="1455420"/>
                <wp:effectExtent l="9525" t="0" r="0" b="1143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4554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A43BF6" w14:textId="77777777" w:rsidR="00EF7B8E" w:rsidRDefault="00EF7B8E" w:rsidP="00EF7B8E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attributes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requirements</w:t>
                            </w:r>
                          </w:p>
                          <w:p w14:paraId="31519926" w14:textId="1C6A1884" w:rsidR="00EF7B8E" w:rsidRDefault="00EF7B8E" w:rsidP="00627D5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</w:tabs>
                              <w:spacing w:before="275"/>
                              <w:ind w:right="110"/>
                              <w:jc w:val="both"/>
                            </w:pPr>
                            <w:r>
                              <w:t xml:space="preserve">As a </w:t>
                            </w:r>
                            <w:r w:rsidR="009C2544">
                              <w:t>defense</w:t>
                            </w:r>
                            <w:r>
                              <w:t xml:space="preserve"> contractor, we have a number of security obligations placed upon</w:t>
                            </w:r>
                            <w:r w:rsidRPr="00627D5F"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Company, which means that all our staff must be able to successfully achieve the relevant security clearances.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846BDF" id="Textbox 4" o:spid="_x0000_s1027" type="#_x0000_t202" style="width:450.95pt;height:1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" filled="f" strokeweight=".48pt">
                <v:path arrowok="t"/>
                <v:textbox inset="0,0,0,0">
                  <w:txbxContent>
                    <w:p w14:paraId="02A43BF6" w14:textId="77777777" w:rsidR="00EF7B8E" w:rsidRDefault="00EF7B8E" w:rsidP="00EF7B8E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attributes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other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requirements</w:t>
                      </w:r>
                    </w:p>
                    <w:p w14:paraId="31519926" w14:textId="1C6A1884" w:rsidR="00EF7B8E" w:rsidRDefault="00EF7B8E" w:rsidP="00627D5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</w:tabs>
                        <w:spacing w:before="275"/>
                        <w:ind w:right="110"/>
                        <w:jc w:val="both"/>
                      </w:pPr>
                      <w:r>
                        <w:t xml:space="preserve">As a </w:t>
                      </w:r>
                      <w:r w:rsidR="009C2544">
                        <w:t>defense</w:t>
                      </w:r>
                      <w:r>
                        <w:t xml:space="preserve"> contractor, we have </w:t>
                      </w:r>
                      <w:proofErr w:type="gramStart"/>
                      <w:r>
                        <w:t>a number of</w:t>
                      </w:r>
                      <w:proofErr w:type="gramEnd"/>
                      <w:r>
                        <w:t xml:space="preserve"> security obligations placed upon</w:t>
                      </w:r>
                      <w:r w:rsidRPr="00627D5F">
                        <w:rPr>
                          <w:spacing w:val="40"/>
                        </w:rPr>
                        <w:t xml:space="preserve"> </w:t>
                      </w:r>
                      <w:r>
                        <w:t>the Company, which means that all our staff must be able to successfully achieve the relevant security clearances.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1509C">
      <w:headerReference w:type="default" r:id="rId8"/>
      <w:footerReference w:type="default" r:id="rId9"/>
      <w:pgSz w:w="11910" w:h="16840"/>
      <w:pgMar w:top="2000" w:right="1680" w:bottom="1280" w:left="620" w:header="824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B829" w14:textId="77777777" w:rsidR="00591FBE" w:rsidRDefault="00591FBE">
      <w:r>
        <w:separator/>
      </w:r>
    </w:p>
  </w:endnote>
  <w:endnote w:type="continuationSeparator" w:id="0">
    <w:p w14:paraId="7B3D6712" w14:textId="77777777" w:rsidR="00591FBE" w:rsidRDefault="0059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5781" w14:textId="77777777" w:rsidR="0071509C" w:rsidRDefault="001F766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4D55784" wp14:editId="54D55785">
              <wp:simplePos x="0" y="0"/>
              <wp:positionH relativeFrom="page">
                <wp:posOffset>616584</wp:posOffset>
              </wp:positionH>
              <wp:positionV relativeFrom="page">
                <wp:posOffset>9828529</wp:posOffset>
              </wp:positionV>
              <wp:extent cx="5715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5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00">
                            <a:moveTo>
                              <a:pt x="0" y="0"/>
                            </a:moveTo>
                            <a:lnTo>
                              <a:pt x="5715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43EEE" id="Graphic 2" o:spid="_x0000_s1026" style="position:absolute;margin-left:48.55pt;margin-top:773.9pt;width:45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" path="m,l5715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4D55786" wp14:editId="54D55787">
              <wp:simplePos x="0" y="0"/>
              <wp:positionH relativeFrom="page">
                <wp:posOffset>6914133</wp:posOffset>
              </wp:positionH>
              <wp:positionV relativeFrom="page">
                <wp:posOffset>10086543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5578F" w14:textId="77777777" w:rsidR="0071509C" w:rsidRDefault="001F766A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color w:val="C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C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C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C0000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C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5578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44.4pt;margin-top:794.2pt;width:12.6pt;height:13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LChgljhAAAADwEA&#10;AA8AAAAAAAAAAAAAAAAA6wMAAGRycy9kb3ducmV2LnhtbFBLBQYAAAAABAAEAPMAAAD5BAAAAAA=&#10;" filled="f" stroked="f">
              <v:textbox inset="0,0,0,0">
                <w:txbxContent>
                  <w:p w14:paraId="54D5578F" w14:textId="77777777" w:rsidR="0071509C" w:rsidRDefault="001F766A">
                    <w:pPr>
                      <w:spacing w:line="245" w:lineRule="exact"/>
                      <w:ind w:left="60"/>
                    </w:pPr>
                    <w:r>
                      <w:rPr>
                        <w:color w:val="C00000"/>
                        <w:spacing w:val="-10"/>
                      </w:rPr>
                      <w:fldChar w:fldCharType="begin"/>
                    </w:r>
                    <w:r>
                      <w:rPr>
                        <w:color w:val="C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C00000"/>
                        <w:spacing w:val="-10"/>
                      </w:rPr>
                      <w:fldChar w:fldCharType="separate"/>
                    </w:r>
                    <w:r>
                      <w:rPr>
                        <w:color w:val="C00000"/>
                        <w:spacing w:val="-10"/>
                      </w:rPr>
                      <w:t>1</w:t>
                    </w:r>
                    <w:r>
                      <w:rPr>
                        <w:color w:val="C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5EC7" w14:textId="77777777" w:rsidR="00591FBE" w:rsidRDefault="00591FBE">
      <w:r>
        <w:separator/>
      </w:r>
    </w:p>
  </w:footnote>
  <w:footnote w:type="continuationSeparator" w:id="0">
    <w:p w14:paraId="2ADF69FE" w14:textId="77777777" w:rsidR="00591FBE" w:rsidRDefault="00591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5780" w14:textId="77777777" w:rsidR="0071509C" w:rsidRDefault="001F766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144" behindDoc="1" locked="0" layoutInCell="1" allowOverlap="1" wp14:anchorId="54D55782" wp14:editId="54D55783">
          <wp:simplePos x="0" y="0"/>
          <wp:positionH relativeFrom="page">
            <wp:posOffset>5020309</wp:posOffset>
          </wp:positionH>
          <wp:positionV relativeFrom="page">
            <wp:posOffset>523145</wp:posOffset>
          </wp:positionV>
          <wp:extent cx="1904732" cy="3310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4732" cy="331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4E77"/>
    <w:multiLevelType w:val="hybridMultilevel"/>
    <w:tmpl w:val="D360C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40953"/>
    <w:multiLevelType w:val="hybridMultilevel"/>
    <w:tmpl w:val="D532733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125C16CE"/>
    <w:multiLevelType w:val="hybridMultilevel"/>
    <w:tmpl w:val="7FCACA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F36CD"/>
    <w:multiLevelType w:val="hybridMultilevel"/>
    <w:tmpl w:val="36FEF6EA"/>
    <w:lvl w:ilvl="0" w:tplc="FB7EA75A">
      <w:start w:val="8"/>
      <w:numFmt w:val="decimal"/>
      <w:lvlText w:val="%1."/>
      <w:lvlJc w:val="left"/>
      <w:pPr>
        <w:ind w:left="821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80ADC2">
      <w:numFmt w:val="bullet"/>
      <w:lvlText w:val="•"/>
      <w:lvlJc w:val="left"/>
      <w:pPr>
        <w:ind w:left="1638" w:hanging="356"/>
      </w:pPr>
      <w:rPr>
        <w:rFonts w:hint="default"/>
        <w:lang w:val="en-US" w:eastAsia="en-US" w:bidi="ar-SA"/>
      </w:rPr>
    </w:lvl>
    <w:lvl w:ilvl="2" w:tplc="75326F7E">
      <w:numFmt w:val="bullet"/>
      <w:lvlText w:val="•"/>
      <w:lvlJc w:val="left"/>
      <w:pPr>
        <w:ind w:left="2457" w:hanging="356"/>
      </w:pPr>
      <w:rPr>
        <w:rFonts w:hint="default"/>
        <w:lang w:val="en-US" w:eastAsia="en-US" w:bidi="ar-SA"/>
      </w:rPr>
    </w:lvl>
    <w:lvl w:ilvl="3" w:tplc="B5AE40EE">
      <w:numFmt w:val="bullet"/>
      <w:lvlText w:val="•"/>
      <w:lvlJc w:val="left"/>
      <w:pPr>
        <w:ind w:left="3276" w:hanging="356"/>
      </w:pPr>
      <w:rPr>
        <w:rFonts w:hint="default"/>
        <w:lang w:val="en-US" w:eastAsia="en-US" w:bidi="ar-SA"/>
      </w:rPr>
    </w:lvl>
    <w:lvl w:ilvl="4" w:tplc="587C269E">
      <w:numFmt w:val="bullet"/>
      <w:lvlText w:val="•"/>
      <w:lvlJc w:val="left"/>
      <w:pPr>
        <w:ind w:left="4095" w:hanging="356"/>
      </w:pPr>
      <w:rPr>
        <w:rFonts w:hint="default"/>
        <w:lang w:val="en-US" w:eastAsia="en-US" w:bidi="ar-SA"/>
      </w:rPr>
    </w:lvl>
    <w:lvl w:ilvl="5" w:tplc="C0E6BBD4">
      <w:numFmt w:val="bullet"/>
      <w:lvlText w:val="•"/>
      <w:lvlJc w:val="left"/>
      <w:pPr>
        <w:ind w:left="4914" w:hanging="356"/>
      </w:pPr>
      <w:rPr>
        <w:rFonts w:hint="default"/>
        <w:lang w:val="en-US" w:eastAsia="en-US" w:bidi="ar-SA"/>
      </w:rPr>
    </w:lvl>
    <w:lvl w:ilvl="6" w:tplc="43AEF998">
      <w:numFmt w:val="bullet"/>
      <w:lvlText w:val="•"/>
      <w:lvlJc w:val="left"/>
      <w:pPr>
        <w:ind w:left="5733" w:hanging="356"/>
      </w:pPr>
      <w:rPr>
        <w:rFonts w:hint="default"/>
        <w:lang w:val="en-US" w:eastAsia="en-US" w:bidi="ar-SA"/>
      </w:rPr>
    </w:lvl>
    <w:lvl w:ilvl="7" w:tplc="FBF21996">
      <w:numFmt w:val="bullet"/>
      <w:lvlText w:val="•"/>
      <w:lvlJc w:val="left"/>
      <w:pPr>
        <w:ind w:left="6552" w:hanging="356"/>
      </w:pPr>
      <w:rPr>
        <w:rFonts w:hint="default"/>
        <w:lang w:val="en-US" w:eastAsia="en-US" w:bidi="ar-SA"/>
      </w:rPr>
    </w:lvl>
    <w:lvl w:ilvl="8" w:tplc="FB14EDF2">
      <w:numFmt w:val="bullet"/>
      <w:lvlText w:val="•"/>
      <w:lvlJc w:val="left"/>
      <w:pPr>
        <w:ind w:left="7371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177F17CD"/>
    <w:multiLevelType w:val="hybridMultilevel"/>
    <w:tmpl w:val="B3D0E050"/>
    <w:lvl w:ilvl="0" w:tplc="D79C2162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649B72">
      <w:numFmt w:val="bullet"/>
      <w:lvlText w:val="•"/>
      <w:lvlJc w:val="left"/>
      <w:pPr>
        <w:ind w:left="1638" w:hanging="361"/>
      </w:pPr>
      <w:rPr>
        <w:rFonts w:hint="default"/>
        <w:lang w:val="en-US" w:eastAsia="en-US" w:bidi="ar-SA"/>
      </w:rPr>
    </w:lvl>
    <w:lvl w:ilvl="2" w:tplc="0804C72E">
      <w:numFmt w:val="bullet"/>
      <w:lvlText w:val="•"/>
      <w:lvlJc w:val="left"/>
      <w:pPr>
        <w:ind w:left="2457" w:hanging="361"/>
      </w:pPr>
      <w:rPr>
        <w:rFonts w:hint="default"/>
        <w:lang w:val="en-US" w:eastAsia="en-US" w:bidi="ar-SA"/>
      </w:rPr>
    </w:lvl>
    <w:lvl w:ilvl="3" w:tplc="C2B428A6">
      <w:numFmt w:val="bullet"/>
      <w:lvlText w:val="•"/>
      <w:lvlJc w:val="left"/>
      <w:pPr>
        <w:ind w:left="3276" w:hanging="361"/>
      </w:pPr>
      <w:rPr>
        <w:rFonts w:hint="default"/>
        <w:lang w:val="en-US" w:eastAsia="en-US" w:bidi="ar-SA"/>
      </w:rPr>
    </w:lvl>
    <w:lvl w:ilvl="4" w:tplc="E4D44A28"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5" w:tplc="4E1C2140">
      <w:numFmt w:val="bullet"/>
      <w:lvlText w:val="•"/>
      <w:lvlJc w:val="left"/>
      <w:pPr>
        <w:ind w:left="4914" w:hanging="361"/>
      </w:pPr>
      <w:rPr>
        <w:rFonts w:hint="default"/>
        <w:lang w:val="en-US" w:eastAsia="en-US" w:bidi="ar-SA"/>
      </w:rPr>
    </w:lvl>
    <w:lvl w:ilvl="6" w:tplc="F7E221F8">
      <w:numFmt w:val="bullet"/>
      <w:lvlText w:val="•"/>
      <w:lvlJc w:val="left"/>
      <w:pPr>
        <w:ind w:left="5733" w:hanging="361"/>
      </w:pPr>
      <w:rPr>
        <w:rFonts w:hint="default"/>
        <w:lang w:val="en-US" w:eastAsia="en-US" w:bidi="ar-SA"/>
      </w:rPr>
    </w:lvl>
    <w:lvl w:ilvl="7" w:tplc="A2422CD6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8" w:tplc="6D12CADA">
      <w:numFmt w:val="bullet"/>
      <w:lvlText w:val="•"/>
      <w:lvlJc w:val="left"/>
      <w:pPr>
        <w:ind w:left="737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9436482"/>
    <w:multiLevelType w:val="multilevel"/>
    <w:tmpl w:val="1868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F6A7B"/>
    <w:multiLevelType w:val="multilevel"/>
    <w:tmpl w:val="78B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45D3F"/>
    <w:multiLevelType w:val="hybridMultilevel"/>
    <w:tmpl w:val="2E04C0AA"/>
    <w:lvl w:ilvl="0" w:tplc="AD1A3FB2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688E8E">
      <w:numFmt w:val="bullet"/>
      <w:lvlText w:val="•"/>
      <w:lvlJc w:val="left"/>
      <w:pPr>
        <w:ind w:left="1638" w:hanging="361"/>
      </w:pPr>
      <w:rPr>
        <w:rFonts w:hint="default"/>
        <w:lang w:val="en-US" w:eastAsia="en-US" w:bidi="ar-SA"/>
      </w:rPr>
    </w:lvl>
    <w:lvl w:ilvl="2" w:tplc="65784D8C">
      <w:numFmt w:val="bullet"/>
      <w:lvlText w:val="•"/>
      <w:lvlJc w:val="left"/>
      <w:pPr>
        <w:ind w:left="2457" w:hanging="361"/>
      </w:pPr>
      <w:rPr>
        <w:rFonts w:hint="default"/>
        <w:lang w:val="en-US" w:eastAsia="en-US" w:bidi="ar-SA"/>
      </w:rPr>
    </w:lvl>
    <w:lvl w:ilvl="3" w:tplc="4F90C698">
      <w:numFmt w:val="bullet"/>
      <w:lvlText w:val="•"/>
      <w:lvlJc w:val="left"/>
      <w:pPr>
        <w:ind w:left="3276" w:hanging="361"/>
      </w:pPr>
      <w:rPr>
        <w:rFonts w:hint="default"/>
        <w:lang w:val="en-US" w:eastAsia="en-US" w:bidi="ar-SA"/>
      </w:rPr>
    </w:lvl>
    <w:lvl w:ilvl="4" w:tplc="5E7AF112"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5" w:tplc="D30CEE3C">
      <w:numFmt w:val="bullet"/>
      <w:lvlText w:val="•"/>
      <w:lvlJc w:val="left"/>
      <w:pPr>
        <w:ind w:left="4914" w:hanging="361"/>
      </w:pPr>
      <w:rPr>
        <w:rFonts w:hint="default"/>
        <w:lang w:val="en-US" w:eastAsia="en-US" w:bidi="ar-SA"/>
      </w:rPr>
    </w:lvl>
    <w:lvl w:ilvl="6" w:tplc="0EDC4FE8">
      <w:numFmt w:val="bullet"/>
      <w:lvlText w:val="•"/>
      <w:lvlJc w:val="left"/>
      <w:pPr>
        <w:ind w:left="5733" w:hanging="361"/>
      </w:pPr>
      <w:rPr>
        <w:rFonts w:hint="default"/>
        <w:lang w:val="en-US" w:eastAsia="en-US" w:bidi="ar-SA"/>
      </w:rPr>
    </w:lvl>
    <w:lvl w:ilvl="7" w:tplc="E1C62118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8" w:tplc="E1DE843E">
      <w:numFmt w:val="bullet"/>
      <w:lvlText w:val="•"/>
      <w:lvlJc w:val="left"/>
      <w:pPr>
        <w:ind w:left="737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B9F75E7"/>
    <w:multiLevelType w:val="hybridMultilevel"/>
    <w:tmpl w:val="00028C52"/>
    <w:lvl w:ilvl="0" w:tplc="AADE9CC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48C47E">
      <w:numFmt w:val="bullet"/>
      <w:lvlText w:val="•"/>
      <w:lvlJc w:val="left"/>
      <w:pPr>
        <w:ind w:left="1638" w:hanging="361"/>
      </w:pPr>
      <w:rPr>
        <w:rFonts w:hint="default"/>
        <w:lang w:val="en-US" w:eastAsia="en-US" w:bidi="ar-SA"/>
      </w:rPr>
    </w:lvl>
    <w:lvl w:ilvl="2" w:tplc="8B34ADFA">
      <w:numFmt w:val="bullet"/>
      <w:lvlText w:val="•"/>
      <w:lvlJc w:val="left"/>
      <w:pPr>
        <w:ind w:left="2457" w:hanging="361"/>
      </w:pPr>
      <w:rPr>
        <w:rFonts w:hint="default"/>
        <w:lang w:val="en-US" w:eastAsia="en-US" w:bidi="ar-SA"/>
      </w:rPr>
    </w:lvl>
    <w:lvl w:ilvl="3" w:tplc="054C774A">
      <w:numFmt w:val="bullet"/>
      <w:lvlText w:val="•"/>
      <w:lvlJc w:val="left"/>
      <w:pPr>
        <w:ind w:left="3276" w:hanging="361"/>
      </w:pPr>
      <w:rPr>
        <w:rFonts w:hint="default"/>
        <w:lang w:val="en-US" w:eastAsia="en-US" w:bidi="ar-SA"/>
      </w:rPr>
    </w:lvl>
    <w:lvl w:ilvl="4" w:tplc="F7621DB4"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5" w:tplc="D8FAA7E4">
      <w:numFmt w:val="bullet"/>
      <w:lvlText w:val="•"/>
      <w:lvlJc w:val="left"/>
      <w:pPr>
        <w:ind w:left="4914" w:hanging="361"/>
      </w:pPr>
      <w:rPr>
        <w:rFonts w:hint="default"/>
        <w:lang w:val="en-US" w:eastAsia="en-US" w:bidi="ar-SA"/>
      </w:rPr>
    </w:lvl>
    <w:lvl w:ilvl="6" w:tplc="6A245940">
      <w:numFmt w:val="bullet"/>
      <w:lvlText w:val="•"/>
      <w:lvlJc w:val="left"/>
      <w:pPr>
        <w:ind w:left="5733" w:hanging="361"/>
      </w:pPr>
      <w:rPr>
        <w:rFonts w:hint="default"/>
        <w:lang w:val="en-US" w:eastAsia="en-US" w:bidi="ar-SA"/>
      </w:rPr>
    </w:lvl>
    <w:lvl w:ilvl="7" w:tplc="477AA75E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8" w:tplc="5C7EB32E">
      <w:numFmt w:val="bullet"/>
      <w:lvlText w:val="•"/>
      <w:lvlJc w:val="left"/>
      <w:pPr>
        <w:ind w:left="737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B012BFA"/>
    <w:multiLevelType w:val="hybridMultilevel"/>
    <w:tmpl w:val="C374EB22"/>
    <w:lvl w:ilvl="0" w:tplc="08090011">
      <w:start w:val="1"/>
      <w:numFmt w:val="decimal"/>
      <w:lvlText w:val="%1)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59CC3550"/>
    <w:multiLevelType w:val="multilevel"/>
    <w:tmpl w:val="E96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41E58"/>
    <w:multiLevelType w:val="multilevel"/>
    <w:tmpl w:val="B7B6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7C103B"/>
    <w:multiLevelType w:val="hybridMultilevel"/>
    <w:tmpl w:val="9CC6D72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972DE"/>
    <w:multiLevelType w:val="multilevel"/>
    <w:tmpl w:val="1F3E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BB0D2F"/>
    <w:multiLevelType w:val="multilevel"/>
    <w:tmpl w:val="CE3E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710BBF"/>
    <w:multiLevelType w:val="hybridMultilevel"/>
    <w:tmpl w:val="83B408FE"/>
    <w:lvl w:ilvl="0" w:tplc="08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7A1C6766"/>
    <w:multiLevelType w:val="multilevel"/>
    <w:tmpl w:val="1BAC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D93EE4"/>
    <w:multiLevelType w:val="hybridMultilevel"/>
    <w:tmpl w:val="09C6522C"/>
    <w:lvl w:ilvl="0" w:tplc="BBE2753A">
      <w:start w:val="1"/>
      <w:numFmt w:val="decimal"/>
      <w:lvlText w:val="%1."/>
      <w:lvlJc w:val="left"/>
      <w:pPr>
        <w:ind w:left="821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EC382C">
      <w:numFmt w:val="bullet"/>
      <w:lvlText w:val="•"/>
      <w:lvlJc w:val="left"/>
      <w:pPr>
        <w:ind w:left="1638" w:hanging="356"/>
      </w:pPr>
      <w:rPr>
        <w:rFonts w:hint="default"/>
        <w:lang w:val="en-US" w:eastAsia="en-US" w:bidi="ar-SA"/>
      </w:rPr>
    </w:lvl>
    <w:lvl w:ilvl="2" w:tplc="75DA89FA">
      <w:numFmt w:val="bullet"/>
      <w:lvlText w:val="•"/>
      <w:lvlJc w:val="left"/>
      <w:pPr>
        <w:ind w:left="2457" w:hanging="356"/>
      </w:pPr>
      <w:rPr>
        <w:rFonts w:hint="default"/>
        <w:lang w:val="en-US" w:eastAsia="en-US" w:bidi="ar-SA"/>
      </w:rPr>
    </w:lvl>
    <w:lvl w:ilvl="3" w:tplc="9CBA1D52">
      <w:numFmt w:val="bullet"/>
      <w:lvlText w:val="•"/>
      <w:lvlJc w:val="left"/>
      <w:pPr>
        <w:ind w:left="3276" w:hanging="356"/>
      </w:pPr>
      <w:rPr>
        <w:rFonts w:hint="default"/>
        <w:lang w:val="en-US" w:eastAsia="en-US" w:bidi="ar-SA"/>
      </w:rPr>
    </w:lvl>
    <w:lvl w:ilvl="4" w:tplc="4802045A">
      <w:numFmt w:val="bullet"/>
      <w:lvlText w:val="•"/>
      <w:lvlJc w:val="left"/>
      <w:pPr>
        <w:ind w:left="4095" w:hanging="356"/>
      </w:pPr>
      <w:rPr>
        <w:rFonts w:hint="default"/>
        <w:lang w:val="en-US" w:eastAsia="en-US" w:bidi="ar-SA"/>
      </w:rPr>
    </w:lvl>
    <w:lvl w:ilvl="5" w:tplc="295051C4">
      <w:numFmt w:val="bullet"/>
      <w:lvlText w:val="•"/>
      <w:lvlJc w:val="left"/>
      <w:pPr>
        <w:ind w:left="4914" w:hanging="356"/>
      </w:pPr>
      <w:rPr>
        <w:rFonts w:hint="default"/>
        <w:lang w:val="en-US" w:eastAsia="en-US" w:bidi="ar-SA"/>
      </w:rPr>
    </w:lvl>
    <w:lvl w:ilvl="6" w:tplc="5296DB1E">
      <w:numFmt w:val="bullet"/>
      <w:lvlText w:val="•"/>
      <w:lvlJc w:val="left"/>
      <w:pPr>
        <w:ind w:left="5733" w:hanging="356"/>
      </w:pPr>
      <w:rPr>
        <w:rFonts w:hint="default"/>
        <w:lang w:val="en-US" w:eastAsia="en-US" w:bidi="ar-SA"/>
      </w:rPr>
    </w:lvl>
    <w:lvl w:ilvl="7" w:tplc="8FD69990">
      <w:numFmt w:val="bullet"/>
      <w:lvlText w:val="•"/>
      <w:lvlJc w:val="left"/>
      <w:pPr>
        <w:ind w:left="6552" w:hanging="356"/>
      </w:pPr>
      <w:rPr>
        <w:rFonts w:hint="default"/>
        <w:lang w:val="en-US" w:eastAsia="en-US" w:bidi="ar-SA"/>
      </w:rPr>
    </w:lvl>
    <w:lvl w:ilvl="8" w:tplc="A23E8BE4">
      <w:numFmt w:val="bullet"/>
      <w:lvlText w:val="•"/>
      <w:lvlJc w:val="left"/>
      <w:pPr>
        <w:ind w:left="7371" w:hanging="356"/>
      </w:pPr>
      <w:rPr>
        <w:rFonts w:hint="default"/>
        <w:lang w:val="en-US" w:eastAsia="en-US" w:bidi="ar-SA"/>
      </w:rPr>
    </w:lvl>
  </w:abstractNum>
  <w:num w:numId="1" w16cid:durableId="1551309408">
    <w:abstractNumId w:val="4"/>
  </w:num>
  <w:num w:numId="2" w16cid:durableId="2078816709">
    <w:abstractNumId w:val="7"/>
  </w:num>
  <w:num w:numId="3" w16cid:durableId="642777358">
    <w:abstractNumId w:val="8"/>
  </w:num>
  <w:num w:numId="4" w16cid:durableId="60561153">
    <w:abstractNumId w:val="3"/>
  </w:num>
  <w:num w:numId="5" w16cid:durableId="1256666531">
    <w:abstractNumId w:val="17"/>
  </w:num>
  <w:num w:numId="6" w16cid:durableId="380641737">
    <w:abstractNumId w:val="9"/>
  </w:num>
  <w:num w:numId="7" w16cid:durableId="455678599">
    <w:abstractNumId w:val="12"/>
  </w:num>
  <w:num w:numId="8" w16cid:durableId="378896295">
    <w:abstractNumId w:val="15"/>
  </w:num>
  <w:num w:numId="9" w16cid:durableId="1807509861">
    <w:abstractNumId w:val="0"/>
  </w:num>
  <w:num w:numId="10" w16cid:durableId="446001287">
    <w:abstractNumId w:val="2"/>
  </w:num>
  <w:num w:numId="11" w16cid:durableId="1318920197">
    <w:abstractNumId w:val="1"/>
  </w:num>
  <w:num w:numId="12" w16cid:durableId="1502963951">
    <w:abstractNumId w:val="10"/>
  </w:num>
  <w:num w:numId="13" w16cid:durableId="978343640">
    <w:abstractNumId w:val="11"/>
  </w:num>
  <w:num w:numId="14" w16cid:durableId="1172136800">
    <w:abstractNumId w:val="13"/>
  </w:num>
  <w:num w:numId="15" w16cid:durableId="411053025">
    <w:abstractNumId w:val="5"/>
  </w:num>
  <w:num w:numId="16" w16cid:durableId="332101521">
    <w:abstractNumId w:val="6"/>
  </w:num>
  <w:num w:numId="17" w16cid:durableId="1447113037">
    <w:abstractNumId w:val="16"/>
  </w:num>
  <w:num w:numId="18" w16cid:durableId="19791473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9C"/>
    <w:rsid w:val="000004E6"/>
    <w:rsid w:val="00003C7C"/>
    <w:rsid w:val="00012F34"/>
    <w:rsid w:val="00041E4B"/>
    <w:rsid w:val="000461EB"/>
    <w:rsid w:val="00065101"/>
    <w:rsid w:val="00076554"/>
    <w:rsid w:val="000803F1"/>
    <w:rsid w:val="0008380E"/>
    <w:rsid w:val="000845CC"/>
    <w:rsid w:val="000C7204"/>
    <w:rsid w:val="000E416A"/>
    <w:rsid w:val="00107293"/>
    <w:rsid w:val="001346F0"/>
    <w:rsid w:val="00167D43"/>
    <w:rsid w:val="00171D17"/>
    <w:rsid w:val="00186D12"/>
    <w:rsid w:val="0019263B"/>
    <w:rsid w:val="001A531F"/>
    <w:rsid w:val="001D0286"/>
    <w:rsid w:val="001D5EEF"/>
    <w:rsid w:val="001F2975"/>
    <w:rsid w:val="001F766A"/>
    <w:rsid w:val="00245C82"/>
    <w:rsid w:val="0025006C"/>
    <w:rsid w:val="002541FE"/>
    <w:rsid w:val="00257C5E"/>
    <w:rsid w:val="002634EA"/>
    <w:rsid w:val="002834C3"/>
    <w:rsid w:val="00295AB2"/>
    <w:rsid w:val="002B7D38"/>
    <w:rsid w:val="002E16E3"/>
    <w:rsid w:val="00304034"/>
    <w:rsid w:val="0032298E"/>
    <w:rsid w:val="00322C47"/>
    <w:rsid w:val="00331526"/>
    <w:rsid w:val="00342CFE"/>
    <w:rsid w:val="003460D5"/>
    <w:rsid w:val="0039044F"/>
    <w:rsid w:val="00392155"/>
    <w:rsid w:val="003A7F3D"/>
    <w:rsid w:val="003B2ACC"/>
    <w:rsid w:val="003C0833"/>
    <w:rsid w:val="003C0CD5"/>
    <w:rsid w:val="003C130B"/>
    <w:rsid w:val="003D1D14"/>
    <w:rsid w:val="00421B46"/>
    <w:rsid w:val="00426334"/>
    <w:rsid w:val="004364B0"/>
    <w:rsid w:val="00445383"/>
    <w:rsid w:val="00457B37"/>
    <w:rsid w:val="00462D82"/>
    <w:rsid w:val="004859F8"/>
    <w:rsid w:val="00494CD6"/>
    <w:rsid w:val="004A6D79"/>
    <w:rsid w:val="004B1866"/>
    <w:rsid w:val="004B44B1"/>
    <w:rsid w:val="004B7C95"/>
    <w:rsid w:val="004D6A02"/>
    <w:rsid w:val="004E0467"/>
    <w:rsid w:val="004F2441"/>
    <w:rsid w:val="00501A91"/>
    <w:rsid w:val="00536AE8"/>
    <w:rsid w:val="00541DDC"/>
    <w:rsid w:val="005431D0"/>
    <w:rsid w:val="005468C3"/>
    <w:rsid w:val="0056750D"/>
    <w:rsid w:val="005859DD"/>
    <w:rsid w:val="00591FBE"/>
    <w:rsid w:val="00592AE6"/>
    <w:rsid w:val="005B3BC1"/>
    <w:rsid w:val="005B4CC1"/>
    <w:rsid w:val="00606B27"/>
    <w:rsid w:val="006072AE"/>
    <w:rsid w:val="00627D5F"/>
    <w:rsid w:val="006329C1"/>
    <w:rsid w:val="006449E5"/>
    <w:rsid w:val="00644E89"/>
    <w:rsid w:val="006613B6"/>
    <w:rsid w:val="00672E44"/>
    <w:rsid w:val="006C42BF"/>
    <w:rsid w:val="006E5B7E"/>
    <w:rsid w:val="006F5F68"/>
    <w:rsid w:val="006F60B9"/>
    <w:rsid w:val="007048C2"/>
    <w:rsid w:val="00706007"/>
    <w:rsid w:val="00711CBD"/>
    <w:rsid w:val="007126D1"/>
    <w:rsid w:val="0071509C"/>
    <w:rsid w:val="007275A3"/>
    <w:rsid w:val="00750941"/>
    <w:rsid w:val="0077099A"/>
    <w:rsid w:val="00770D9D"/>
    <w:rsid w:val="007B138B"/>
    <w:rsid w:val="007B31C0"/>
    <w:rsid w:val="007B7245"/>
    <w:rsid w:val="007E3A00"/>
    <w:rsid w:val="007E7B4C"/>
    <w:rsid w:val="00810D4A"/>
    <w:rsid w:val="00814BBE"/>
    <w:rsid w:val="008175F9"/>
    <w:rsid w:val="00826900"/>
    <w:rsid w:val="008362DB"/>
    <w:rsid w:val="00842853"/>
    <w:rsid w:val="00845550"/>
    <w:rsid w:val="00853FD9"/>
    <w:rsid w:val="00874A98"/>
    <w:rsid w:val="008B10C6"/>
    <w:rsid w:val="008C0CFF"/>
    <w:rsid w:val="008C45A1"/>
    <w:rsid w:val="008D0F84"/>
    <w:rsid w:val="008F5D13"/>
    <w:rsid w:val="00911532"/>
    <w:rsid w:val="00936BA5"/>
    <w:rsid w:val="00942CD8"/>
    <w:rsid w:val="009876B2"/>
    <w:rsid w:val="009A15C8"/>
    <w:rsid w:val="009A6B65"/>
    <w:rsid w:val="009C2544"/>
    <w:rsid w:val="009C2833"/>
    <w:rsid w:val="009C5C43"/>
    <w:rsid w:val="009C66E7"/>
    <w:rsid w:val="009E4E3B"/>
    <w:rsid w:val="009F4F87"/>
    <w:rsid w:val="00A35631"/>
    <w:rsid w:val="00A66150"/>
    <w:rsid w:val="00A709FB"/>
    <w:rsid w:val="00AC6B23"/>
    <w:rsid w:val="00AE276F"/>
    <w:rsid w:val="00AE4F58"/>
    <w:rsid w:val="00B0398F"/>
    <w:rsid w:val="00B156AF"/>
    <w:rsid w:val="00B212E5"/>
    <w:rsid w:val="00B37AAA"/>
    <w:rsid w:val="00B40377"/>
    <w:rsid w:val="00B558A1"/>
    <w:rsid w:val="00B7133E"/>
    <w:rsid w:val="00B71E50"/>
    <w:rsid w:val="00B8506B"/>
    <w:rsid w:val="00B875E0"/>
    <w:rsid w:val="00BA0057"/>
    <w:rsid w:val="00BC34C7"/>
    <w:rsid w:val="00BD2A92"/>
    <w:rsid w:val="00BD4644"/>
    <w:rsid w:val="00BD48AA"/>
    <w:rsid w:val="00C0201C"/>
    <w:rsid w:val="00C1265C"/>
    <w:rsid w:val="00C21F24"/>
    <w:rsid w:val="00C24957"/>
    <w:rsid w:val="00C32809"/>
    <w:rsid w:val="00C407BC"/>
    <w:rsid w:val="00C42D7F"/>
    <w:rsid w:val="00C53FE3"/>
    <w:rsid w:val="00C62CF5"/>
    <w:rsid w:val="00C63F7B"/>
    <w:rsid w:val="00C75CF1"/>
    <w:rsid w:val="00C84F87"/>
    <w:rsid w:val="00C91C88"/>
    <w:rsid w:val="00C927D6"/>
    <w:rsid w:val="00C94B42"/>
    <w:rsid w:val="00CA29A2"/>
    <w:rsid w:val="00CC296A"/>
    <w:rsid w:val="00CD7FB3"/>
    <w:rsid w:val="00CE7C0E"/>
    <w:rsid w:val="00D0217F"/>
    <w:rsid w:val="00D431E7"/>
    <w:rsid w:val="00D4376B"/>
    <w:rsid w:val="00D64E43"/>
    <w:rsid w:val="00D77D8E"/>
    <w:rsid w:val="00D91CC5"/>
    <w:rsid w:val="00DA1DC8"/>
    <w:rsid w:val="00DB104F"/>
    <w:rsid w:val="00DB7E21"/>
    <w:rsid w:val="00DE4864"/>
    <w:rsid w:val="00DE54F8"/>
    <w:rsid w:val="00DE5670"/>
    <w:rsid w:val="00DE7CFF"/>
    <w:rsid w:val="00DF2373"/>
    <w:rsid w:val="00DF5394"/>
    <w:rsid w:val="00E265A2"/>
    <w:rsid w:val="00E27A9F"/>
    <w:rsid w:val="00E335BB"/>
    <w:rsid w:val="00E446EC"/>
    <w:rsid w:val="00E60955"/>
    <w:rsid w:val="00E63D02"/>
    <w:rsid w:val="00E67CC1"/>
    <w:rsid w:val="00E75CA4"/>
    <w:rsid w:val="00E77B63"/>
    <w:rsid w:val="00E97237"/>
    <w:rsid w:val="00EA28E8"/>
    <w:rsid w:val="00EB7EFC"/>
    <w:rsid w:val="00EE0E6D"/>
    <w:rsid w:val="00EF11AE"/>
    <w:rsid w:val="00EF71E8"/>
    <w:rsid w:val="00EF7B8E"/>
    <w:rsid w:val="00F02B92"/>
    <w:rsid w:val="00F11EC7"/>
    <w:rsid w:val="00F23746"/>
    <w:rsid w:val="00F3395A"/>
    <w:rsid w:val="00F47921"/>
    <w:rsid w:val="00F61572"/>
    <w:rsid w:val="00F7115E"/>
    <w:rsid w:val="00F82555"/>
    <w:rsid w:val="00F84FA3"/>
    <w:rsid w:val="00F93C0A"/>
    <w:rsid w:val="00FC1605"/>
    <w:rsid w:val="00FC42EC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55737"/>
  <w15:docId w15:val="{C668FEE2-55C0-4ED4-BE56-1DAA748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3B2ACC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arson-e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3285</Characters>
  <Application>Microsoft Office Word</Application>
  <DocSecurity>0</DocSecurity>
  <Lines>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Engineer February 2025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February 2025</dc:title>
  <dc:creator>Elizabeth.Hubbuck@Pearson-eng.com</dc:creator>
  <cp:lastModifiedBy>Claire MacAleese</cp:lastModifiedBy>
  <cp:revision>2</cp:revision>
  <dcterms:created xsi:type="dcterms:W3CDTF">2025-10-03T07:59:00Z</dcterms:created>
  <dcterms:modified xsi:type="dcterms:W3CDTF">2025-10-03T07:59:00Z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for Microsoft 365</vt:lpwstr>
  </property>
</Properties>
</file>